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98" w:rsidRPr="00264498" w:rsidRDefault="00264498" w:rsidP="00264498">
      <w:pPr>
        <w:pStyle w:val="Heading1"/>
        <w:rPr>
          <w:rFonts w:asciiTheme="minorBidi" w:hAnsiTheme="minorBidi" w:cstheme="minorBidi"/>
          <w:szCs w:val="43"/>
          <w:lang w:val="en-US" w:eastAsia="fr-FR"/>
        </w:rPr>
      </w:pPr>
      <w:r w:rsidRPr="00264498">
        <w:rPr>
          <w:rFonts w:asciiTheme="minorBidi" w:hAnsiTheme="minorBidi" w:cstheme="minorBidi"/>
          <w:szCs w:val="43"/>
          <w:lang w:val="en-US" w:eastAsia="fr-FR"/>
        </w:rPr>
        <w:t>Tableau de Répartition</w:t>
      </w:r>
    </w:p>
    <w:tbl>
      <w:tblPr>
        <w:tblW w:w="94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1049"/>
        <w:gridCol w:w="3118"/>
        <w:gridCol w:w="764"/>
        <w:gridCol w:w="1080"/>
        <w:gridCol w:w="765"/>
        <w:gridCol w:w="765"/>
        <w:gridCol w:w="935"/>
        <w:gridCol w:w="935"/>
      </w:tblGrid>
      <w:tr w:rsidR="004E685B" w:rsidRPr="00264498" w:rsidTr="00372384">
        <w:trPr>
          <w:cantSplit/>
          <w:trHeight w:val="40"/>
        </w:trPr>
        <w:tc>
          <w:tcPr>
            <w:tcW w:w="10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118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2609" w:type="dxa"/>
            <w:gridSpan w:val="3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>1</w:t>
            </w:r>
            <w:r>
              <w:rPr>
                <w:rFonts w:asciiTheme="minorBidi" w:hAnsiTheme="minorBidi" w:cstheme="minorBidi"/>
                <w:b/>
                <w:bCs/>
                <w:vertAlign w:val="superscript"/>
                <w:lang w:eastAsia="fr-FR"/>
              </w:rPr>
              <w:t xml:space="preserve">st </w:t>
            </w:r>
            <w:r>
              <w:rPr>
                <w:rFonts w:asciiTheme="minorBidi" w:hAnsiTheme="minorBidi" w:cstheme="minorBidi"/>
                <w:b/>
                <w:bCs/>
                <w:lang w:eastAsia="fr-FR"/>
              </w:rPr>
              <w:t>Year</w:t>
            </w:r>
          </w:p>
        </w:tc>
        <w:tc>
          <w:tcPr>
            <w:tcW w:w="2635" w:type="dxa"/>
            <w:gridSpan w:val="3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>2</w:t>
            </w:r>
            <w:r>
              <w:rPr>
                <w:rFonts w:asciiTheme="minorBidi" w:hAnsiTheme="minorBidi" w:cstheme="minorBidi"/>
                <w:b/>
                <w:bCs/>
                <w:vertAlign w:val="superscript"/>
                <w:lang w:eastAsia="fr-FR"/>
              </w:rPr>
              <w:t>nd</w:t>
            </w: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lang w:eastAsia="fr-FR"/>
              </w:rPr>
              <w:t>year</w:t>
            </w:r>
          </w:p>
        </w:tc>
      </w:tr>
      <w:tr w:rsidR="004E685B" w:rsidRPr="00264498" w:rsidTr="00372384">
        <w:trPr>
          <w:cantSplit/>
          <w:trHeight w:val="40"/>
        </w:trPr>
        <w:tc>
          <w:tcPr>
            <w:tcW w:w="10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118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Courses</w:t>
            </w:r>
          </w:p>
        </w:tc>
        <w:tc>
          <w:tcPr>
            <w:tcW w:w="764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duration</w:t>
            </w:r>
          </w:p>
        </w:tc>
        <w:tc>
          <w:tcPr>
            <w:tcW w:w="108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>Page</w:t>
            </w:r>
          </w:p>
        </w:tc>
        <w:tc>
          <w:tcPr>
            <w:tcW w:w="76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Average</w:t>
            </w:r>
          </w:p>
        </w:tc>
        <w:tc>
          <w:tcPr>
            <w:tcW w:w="76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duration</w:t>
            </w:r>
          </w:p>
        </w:tc>
        <w:tc>
          <w:tcPr>
            <w:tcW w:w="93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>Page</w:t>
            </w:r>
          </w:p>
        </w:tc>
        <w:tc>
          <w:tcPr>
            <w:tcW w:w="93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average</w:t>
            </w:r>
          </w:p>
        </w:tc>
      </w:tr>
      <w:tr w:rsidR="004E685B" w:rsidRPr="00264498" w:rsidTr="00372384">
        <w:trPr>
          <w:cantSplit/>
          <w:trHeight w:val="346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</w:t>
            </w:r>
            <w:r w:rsidRPr="00372384">
              <w:rPr>
                <w:rFonts w:asciiTheme="minorBidi" w:hAnsiTheme="minorBidi" w:cstheme="minorBidi"/>
                <w:vertAlign w:val="superscript"/>
                <w:lang w:eastAsia="fr-FR"/>
              </w:rPr>
              <w:t>st</w:t>
            </w:r>
            <w:r w:rsidRPr="00372384">
              <w:rPr>
                <w:rFonts w:asciiTheme="minorBidi" w:hAnsiTheme="minorBidi" w:cstheme="minorBidi"/>
                <w:lang w:eastAsia="fr-FR"/>
              </w:rPr>
              <w:t xml:space="preserve"> foreign language</w:t>
            </w:r>
          </w:p>
        </w:tc>
        <w:tc>
          <w:tcPr>
            <w:tcW w:w="764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 w:bidi="ar-LB"/>
              </w:rPr>
            </w:pPr>
            <w:r w:rsidRPr="00372384">
              <w:rPr>
                <w:rFonts w:asciiTheme="minorBidi" w:hAnsiTheme="minorBidi" w:cstheme="minorBidi"/>
                <w:lang w:eastAsia="fr-FR" w:bidi="ar-LB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5-9/14-20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37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General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2</w:t>
            </w:r>
            <w:r w:rsidRPr="00372384">
              <w:rPr>
                <w:rFonts w:asciiTheme="minorBidi" w:hAnsiTheme="minorBidi" w:cstheme="minorBidi"/>
                <w:vertAlign w:val="superscript"/>
                <w:lang w:eastAsia="fr-FR"/>
              </w:rPr>
              <w:t>nd</w:t>
            </w:r>
            <w:r w:rsidRPr="00372384">
              <w:rPr>
                <w:rFonts w:asciiTheme="minorBidi" w:hAnsiTheme="minorBidi" w:cstheme="minorBidi"/>
                <w:lang w:eastAsia="fr-FR"/>
              </w:rPr>
              <w:t xml:space="preserve"> foreign language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 w:bidi="ar-LB"/>
              </w:rPr>
            </w:pPr>
            <w:r w:rsidRPr="00372384">
              <w:rPr>
                <w:rFonts w:asciiTheme="minorBidi" w:hAnsiTheme="minorBidi" w:cstheme="minorBidi"/>
                <w:lang w:eastAsia="fr-FR" w:bidi="ar-LB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10-13/21-24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4E685B" w:rsidP="00372384">
            <w:pPr>
              <w:spacing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372384" w:rsidP="00372384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37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Courses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General mathematics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25 - 29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4E685B" w:rsidP="00372384">
            <w:pPr>
              <w:spacing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37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Law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30 - 33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60-61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</w:tr>
      <w:tr w:rsidR="004E685B" w:rsidRPr="00264498" w:rsidTr="00372384">
        <w:trPr>
          <w:cantSplit/>
          <w:trHeight w:val="112"/>
        </w:trPr>
        <w:tc>
          <w:tcPr>
            <w:tcW w:w="1049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i/>
                <w:iCs/>
                <w:lang w:eastAsia="fr-FR"/>
              </w:rPr>
              <w:t>TOTAL</w:t>
            </w:r>
          </w:p>
        </w:tc>
        <w:tc>
          <w:tcPr>
            <w:tcW w:w="76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>240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76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20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264498">
              <w:rPr>
                <w:rFonts w:asciiTheme="minorBidi" w:hAnsiTheme="minorBidi" w:cstheme="minorBidi"/>
                <w:b/>
                <w:bCs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6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Financial mathematics</w:t>
            </w: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34-35</w:t>
            </w:r>
          </w:p>
        </w:tc>
        <w:tc>
          <w:tcPr>
            <w:tcW w:w="76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  <w:tc>
          <w:tcPr>
            <w:tcW w:w="76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-</w:t>
            </w: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164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Economics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36-37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-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Statistics  and  probability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38-39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-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Principles of management</w:t>
            </w: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40-41</w:t>
            </w:r>
          </w:p>
        </w:tc>
        <w:tc>
          <w:tcPr>
            <w:tcW w:w="76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IT tools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42-44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General accounting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45-47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A01C26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</w:t>
            </w:r>
            <w:r w:rsidR="00A01C26">
              <w:rPr>
                <w:rFonts w:asciiTheme="minorBidi" w:hAnsiTheme="minorBidi" w:cstheme="minorBidi"/>
                <w:lang w:eastAsia="fr-FR"/>
              </w:rPr>
              <w:t>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Marketing and sales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48-49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Major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Data processing office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50-52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eastAsia="fr-FR"/>
              </w:rPr>
              <w:t>Courses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A01C26" w:rsidP="00A01C26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Marketing research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53-54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A01C26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>
              <w:rPr>
                <w:rFonts w:asciiTheme="minorBidi" w:hAnsiTheme="minorBidi" w:cstheme="minorBidi"/>
                <w:lang w:eastAsia="fr-FR"/>
              </w:rPr>
              <w:t>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Analytical accounting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55-56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4E685B" w:rsidRPr="00264498" w:rsidRDefault="004E685B" w:rsidP="00372384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Consumer behavior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57-58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A01C26" w:rsidRPr="00372384" w:rsidRDefault="00A01C26" w:rsidP="00A01C26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Human aspect of organization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62-63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A01C26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>
              <w:rPr>
                <w:rFonts w:asciiTheme="minorBidi" w:hAnsiTheme="minorBidi" w:cstheme="minorBidi"/>
                <w:lang w:eastAsia="fr-FR"/>
              </w:rPr>
              <w:t>6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Applied taxes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tabs>
                <w:tab w:val="left" w:pos="234"/>
                <w:tab w:val="center" w:pos="326"/>
              </w:tabs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tabs>
                <w:tab w:val="left" w:pos="234"/>
                <w:tab w:val="center" w:pos="326"/>
              </w:tabs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64-65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Management information system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66-69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Commercial negotiation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70-76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Marketing strategy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120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77-79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12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International marketing and marketing of services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120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80-84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A01C26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</w:t>
            </w:r>
            <w:r w:rsidR="00A01C26">
              <w:rPr>
                <w:rFonts w:asciiTheme="minorBidi" w:hAnsiTheme="minorBidi" w:cstheme="minorBidi"/>
                <w:lang w:eastAsia="fr-FR"/>
              </w:rPr>
              <w:t>2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Publicity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85-87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Commercial management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88-92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A01C26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>
              <w:rPr>
                <w:rFonts w:asciiTheme="minorBidi" w:hAnsiTheme="minorBidi" w:cstheme="minorBidi"/>
                <w:lang w:eastAsia="fr-FR"/>
              </w:rPr>
              <w:t>8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Ability of administrator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120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93-94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A01C26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>
              <w:rPr>
                <w:rFonts w:asciiTheme="minorBidi" w:hAnsiTheme="minorBidi" w:cstheme="minorBidi"/>
                <w:lang w:eastAsia="fr-FR"/>
              </w:rPr>
              <w:t>10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Budgeting and financial management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120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95-97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4E685B" w:rsidRPr="00264498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Case study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372384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–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60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98-102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372384">
              <w:rPr>
                <w:rFonts w:asciiTheme="minorBidi" w:hAnsiTheme="minorBidi" w:cstheme="minorBidi"/>
                <w:lang w:eastAsia="fr-FR"/>
              </w:rPr>
              <w:t>8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i/>
                <w:iCs/>
                <w:lang w:eastAsia="fr-FR"/>
              </w:rPr>
              <w:t>Total</w:t>
            </w:r>
          </w:p>
        </w:tc>
        <w:tc>
          <w:tcPr>
            <w:tcW w:w="76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720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76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80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900</w:t>
            </w:r>
          </w:p>
        </w:tc>
        <w:tc>
          <w:tcPr>
            <w:tcW w:w="9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94</w:t>
            </w:r>
          </w:p>
        </w:tc>
      </w:tr>
      <w:tr w:rsidR="004E685B" w:rsidRPr="00264498" w:rsidTr="00372384">
        <w:trPr>
          <w:cantSplit/>
          <w:trHeight w:val="45"/>
        </w:trPr>
        <w:tc>
          <w:tcPr>
            <w:tcW w:w="10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72384">
              <w:rPr>
                <w:rFonts w:asciiTheme="minorBidi" w:hAnsiTheme="minorBidi" w:cstheme="minorBidi"/>
                <w:b/>
                <w:bCs/>
                <w:caps/>
              </w:rPr>
              <w:t>total</w:t>
            </w:r>
          </w:p>
        </w:tc>
        <w:tc>
          <w:tcPr>
            <w:tcW w:w="3118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64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 w:bidi="ar-LB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 w:bidi="ar-LB"/>
              </w:rPr>
              <w:t>960</w:t>
            </w:r>
          </w:p>
        </w:tc>
        <w:tc>
          <w:tcPr>
            <w:tcW w:w="108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76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100</w:t>
            </w:r>
          </w:p>
        </w:tc>
        <w:tc>
          <w:tcPr>
            <w:tcW w:w="76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960</w:t>
            </w:r>
          </w:p>
        </w:tc>
        <w:tc>
          <w:tcPr>
            <w:tcW w:w="93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</w:p>
        </w:tc>
        <w:tc>
          <w:tcPr>
            <w:tcW w:w="93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E685B" w:rsidRPr="00372384" w:rsidRDefault="004E685B" w:rsidP="00372384">
            <w:pPr>
              <w:bidi w:val="0"/>
              <w:spacing w:before="40" w:after="40" w:line="276" w:lineRule="auto"/>
              <w:jc w:val="center"/>
              <w:rPr>
                <w:rFonts w:asciiTheme="minorBidi" w:hAnsiTheme="minorBidi" w:cstheme="minorBidi"/>
                <w:b/>
                <w:bCs/>
                <w:lang w:eastAsia="fr-FR"/>
              </w:rPr>
            </w:pPr>
            <w:r w:rsidRPr="00372384">
              <w:rPr>
                <w:rFonts w:asciiTheme="minorBidi" w:hAnsiTheme="minorBidi" w:cstheme="minorBidi"/>
                <w:b/>
                <w:bCs/>
                <w:lang w:eastAsia="fr-FR"/>
              </w:rPr>
              <w:t>100</w:t>
            </w:r>
          </w:p>
        </w:tc>
      </w:tr>
    </w:tbl>
    <w:p w:rsidR="00EA4FAB" w:rsidRPr="00583E3A" w:rsidRDefault="00EA4FAB" w:rsidP="004E685B">
      <w:pPr>
        <w:tabs>
          <w:tab w:val="left" w:pos="3842"/>
        </w:tabs>
      </w:pPr>
    </w:p>
    <w:sectPr w:rsidR="00EA4FAB" w:rsidRPr="00583E3A" w:rsidSect="004E685B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64498"/>
    <w:rsid w:val="001D47B4"/>
    <w:rsid w:val="00264498"/>
    <w:rsid w:val="002B6E66"/>
    <w:rsid w:val="00372384"/>
    <w:rsid w:val="004E685B"/>
    <w:rsid w:val="00583E3A"/>
    <w:rsid w:val="00654F0A"/>
    <w:rsid w:val="008A259C"/>
    <w:rsid w:val="00A01C26"/>
    <w:rsid w:val="00A023D7"/>
    <w:rsid w:val="00E90DA7"/>
    <w:rsid w:val="00EA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9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264498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sz w:val="3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4498"/>
    <w:rPr>
      <w:rFonts w:ascii="Arial Rounded MT Bold" w:eastAsia="Times New Roman" w:hAnsi="Arial Rounded MT Bold" w:cs="Traditional Arabic"/>
      <w:b/>
      <w:bCs/>
      <w:caps/>
      <w:sz w:val="36"/>
      <w:szCs w:val="24"/>
      <w:shd w:val="pct20" w:color="000000" w:fill="FFFFFF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700D-3AC1-4D0D-9125-BA46796D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C90</dc:creator>
  <cp:keywords/>
  <dc:description/>
  <cp:lastModifiedBy>C90</cp:lastModifiedBy>
  <cp:revision>2</cp:revision>
  <dcterms:created xsi:type="dcterms:W3CDTF">2014-03-14T19:25:00Z</dcterms:created>
  <dcterms:modified xsi:type="dcterms:W3CDTF">2014-03-14T19:25:00Z</dcterms:modified>
</cp:coreProperties>
</file>